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665C171C" w:rsidR="00AD444A" w:rsidRPr="003F426E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 w:rsidR="001B71F9">
        <w:rPr>
          <w:b/>
          <w:noProof/>
          <w:sz w:val="24"/>
        </w:rPr>
        <w:t>4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56C4E" w:rsidRPr="00856C4E">
        <w:rPr>
          <w:b/>
          <w:noProof/>
          <w:sz w:val="24"/>
        </w:rPr>
        <w:t>R1-2101513</w:t>
      </w:r>
    </w:p>
    <w:p w14:paraId="26BCA7E1" w14:textId="77777777" w:rsidR="004849EF" w:rsidRDefault="004849EF" w:rsidP="004849EF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January</w:t>
      </w:r>
      <w:r w:rsidRPr="003F42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256B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</w:t>
      </w:r>
      <w:r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000FACF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C778FF">
        <w:rPr>
          <w:rFonts w:ascii="Arial" w:hAnsi="Arial"/>
          <w:sz w:val="24"/>
        </w:rPr>
        <w:t>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6E2A6BE0" w14:textId="77777777" w:rsidR="00F16C8B" w:rsidRDefault="00620296" w:rsidP="00F16C8B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16C8B" w:rsidRPr="00F16C8B">
        <w:rPr>
          <w:rFonts w:ascii="Arial" w:hAnsi="Arial"/>
          <w:sz w:val="24"/>
        </w:rPr>
        <w:t>Enhancements to time and frequency synchronization</w:t>
      </w:r>
    </w:p>
    <w:p w14:paraId="2859D330" w14:textId="0E4A4E09" w:rsidR="008208F6" w:rsidRDefault="00620296" w:rsidP="00F16C8B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3A059C1" w14:textId="77777777" w:rsidR="00645661" w:rsidRDefault="00645661" w:rsidP="00F16C8B">
      <w:pPr>
        <w:ind w:left="1988" w:hanging="1988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3F6366">
        <w:rPr>
          <w:highlight w:val="yellow"/>
        </w:rPr>
        <w:t>-</w:t>
      </w:r>
      <w:r w:rsidRPr="003F6366">
        <w:rPr>
          <w:highlight w:val="yellow"/>
        </w:rPr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1A1B4E">
        <w:rPr>
          <w:highlight w:val="yellow"/>
        </w:rPr>
        <w:t>-</w:t>
      </w:r>
      <w:r w:rsidRPr="001A1B4E">
        <w:rPr>
          <w:highlight w:val="yellow"/>
        </w:rPr>
        <w:tab/>
        <w:t>Mechanisms for time/frequency adjustment including Timing Advance, and UL frequency compensation indication 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64AF9A4B" w14:textId="54E641EA" w:rsidR="00874392" w:rsidRPr="009B5D79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initial views on </w:t>
      </w:r>
      <w:r w:rsidR="00045BDF">
        <w:t>necessary 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="00A068B8">
        <w:t xml:space="preserve"> as it relates to time and frequency synchronization</w:t>
      </w:r>
      <w:r w:rsidR="0049414B">
        <w:t>, including aspects related to random access procedures/signals</w:t>
      </w:r>
      <w:r>
        <w:rPr>
          <w:lang w:val="en-US"/>
        </w:rPr>
        <w:t>.</w:t>
      </w:r>
    </w:p>
    <w:p w14:paraId="63477C8E" w14:textId="6AF4E4A5" w:rsidR="00D61DA9" w:rsidRDefault="00D3097D" w:rsidP="00AA6350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>Downlink Synchronization</w:t>
      </w:r>
    </w:p>
    <w:p w14:paraId="18FAA3DF" w14:textId="6BF49D59" w:rsidR="00410A8D" w:rsidRDefault="00784DC8" w:rsidP="00A91281">
      <w:pPr>
        <w:pStyle w:val="Style2"/>
        <w:numPr>
          <w:ilvl w:val="1"/>
          <w:numId w:val="1"/>
        </w:numPr>
      </w:pPr>
      <w:r>
        <w:t>Accuracy of downlink frequency synchronization</w:t>
      </w:r>
    </w:p>
    <w:p w14:paraId="22454131" w14:textId="77777777" w:rsidR="0083283A" w:rsidRPr="00784DC8" w:rsidRDefault="0083283A" w:rsidP="0083283A"/>
    <w:p w14:paraId="4471A3CE" w14:textId="7E7B09A7" w:rsidR="00D3097D" w:rsidRDefault="003F14E0" w:rsidP="003F14E0">
      <w:r w:rsidRPr="003F14E0">
        <w:t>Terrestrial NB-IoT</w:t>
      </w:r>
      <w:r w:rsidR="00595973">
        <w:t xml:space="preserve"> and </w:t>
      </w:r>
      <w:proofErr w:type="spellStart"/>
      <w:r w:rsidR="00595973">
        <w:t>eMTC</w:t>
      </w:r>
      <w:proofErr w:type="spellEnd"/>
      <w:r w:rsidRPr="003F14E0">
        <w:t xml:space="preserve"> UEs assume a 100 kHz channel raster</w:t>
      </w:r>
      <w:r>
        <w:t xml:space="preserve">. Assuming a standard </w:t>
      </w:r>
      <w:r w:rsidR="00CC10E9">
        <w:t xml:space="preserve">oscillator accuracy of </w:t>
      </w:r>
      <m:oMath>
        <m:r>
          <w:rPr>
            <w:rFonts w:ascii="Cambria Math" w:hAnsi="Cambria Math"/>
          </w:rPr>
          <m:t>20 ppm</m:t>
        </m:r>
      </m:oMath>
      <w:r w:rsidR="00CC10E9">
        <w:t xml:space="preserve">, </w:t>
      </w:r>
      <w:r w:rsidR="00E85E8C" w:rsidRPr="003F14E0">
        <w:t>o</w:t>
      </w:r>
      <w:r w:rsidR="00E85E8C">
        <w:t>n</w:t>
      </w:r>
      <w:r w:rsidR="00E85E8C" w:rsidRPr="003F14E0">
        <w:t xml:space="preserve"> </w:t>
      </w:r>
      <w:r w:rsidRPr="003F14E0">
        <w:t xml:space="preserve">an S-band NTN network,  UEs may have a max. initial frequency error of up to (20 </w:t>
      </w:r>
      <w:r w:rsidRPr="003F14E0">
        <w:rPr>
          <w:rFonts w:ascii="Cambria Math" w:hAnsi="Cambria Math" w:cs="Cambria Math"/>
        </w:rPr>
        <w:t>𝑝𝑝𝑚</w:t>
      </w:r>
      <w:r w:rsidRPr="003F14E0">
        <w:t>)</w:t>
      </w:r>
      <w:r w:rsidR="008D022D">
        <w:t xml:space="preserve"> </w:t>
      </w:r>
      <w:r w:rsidRPr="003F14E0">
        <w:t>×</w:t>
      </w:r>
      <w:r w:rsidR="008D022D">
        <w:t xml:space="preserve"> </w:t>
      </w:r>
      <w:r w:rsidRPr="003F14E0">
        <w:t>(2×10^9 )</w:t>
      </w:r>
      <w:r w:rsidR="008D022D">
        <w:t xml:space="preserve"> </w:t>
      </w:r>
      <w:r w:rsidRPr="003F14E0">
        <w:t>+</w:t>
      </w:r>
      <w:r w:rsidR="008D022D">
        <w:t xml:space="preserve"> </w:t>
      </w:r>
      <w:r w:rsidRPr="003F14E0">
        <w:t>(7.5×10^3)</w:t>
      </w:r>
      <w:r w:rsidR="008D022D">
        <w:t xml:space="preserve"> </w:t>
      </w:r>
      <w:r w:rsidRPr="003F14E0">
        <w:t xml:space="preserve">=47.5 </w:t>
      </w:r>
      <w:r w:rsidRPr="003F14E0">
        <w:rPr>
          <w:rFonts w:ascii="Cambria Math" w:hAnsi="Cambria Math" w:cs="Cambria Math"/>
        </w:rPr>
        <w:t>𝑘𝐻𝑧</w:t>
      </w:r>
      <w:r w:rsidR="008D022D">
        <w:rPr>
          <w:rFonts w:ascii="Cambria Math" w:hAnsi="Cambria Math" w:cs="Cambria Math"/>
        </w:rPr>
        <w:t>. In contrast, f</w:t>
      </w:r>
      <w:r w:rsidRPr="003F14E0">
        <w:t>or terrestrial NB-IoT,</w:t>
      </w:r>
      <w:r w:rsidR="00E85E8C">
        <w:t xml:space="preserve"> assuming 900MHz carrier frequency,</w:t>
      </w:r>
      <w:r w:rsidRPr="003F14E0">
        <w:t xml:space="preserve"> the max. initial frequency offset ≈</w:t>
      </w:r>
      <w:r w:rsidR="008D022D">
        <w:t xml:space="preserve"> </w:t>
      </w:r>
      <w:r w:rsidRPr="003F14E0">
        <w:t xml:space="preserve">(20 </w:t>
      </w:r>
      <w:r w:rsidR="008D022D" w:rsidRPr="003F14E0">
        <w:rPr>
          <w:rFonts w:ascii="Cambria Math" w:hAnsi="Cambria Math" w:cs="Cambria Math"/>
        </w:rPr>
        <w:t>𝑝𝑝𝑚</w:t>
      </w:r>
      <w:r w:rsidR="008D022D" w:rsidRPr="003F14E0">
        <w:t>) ×</w:t>
      </w:r>
      <w:r w:rsidR="008D022D">
        <w:t xml:space="preserve"> </w:t>
      </w:r>
      <w:r w:rsidRPr="003F14E0">
        <w:t>(0.9×10^9)</w:t>
      </w:r>
      <w:r w:rsidR="008D022D">
        <w:t xml:space="preserve"> </w:t>
      </w:r>
      <w:r w:rsidRPr="003F14E0">
        <w:t>+</w:t>
      </w:r>
      <w:r w:rsidR="008D022D">
        <w:t xml:space="preserve"> </w:t>
      </w:r>
      <w:r w:rsidRPr="003F14E0">
        <w:t>(7.5×10^3)</w:t>
      </w:r>
      <w:r w:rsidR="008D022D">
        <w:t xml:space="preserve"> </w:t>
      </w:r>
      <w:r w:rsidRPr="003F14E0">
        <w:t xml:space="preserve">=25.5 </w:t>
      </w:r>
      <w:r w:rsidRPr="003F14E0">
        <w:rPr>
          <w:rFonts w:ascii="Cambria Math" w:hAnsi="Cambria Math" w:cs="Cambria Math"/>
        </w:rPr>
        <w:t>𝑘𝐻𝑧</w:t>
      </w:r>
      <w:r w:rsidR="00BA6CD3">
        <w:rPr>
          <w:rFonts w:ascii="Cambria Math" w:hAnsi="Cambria Math" w:cs="Cambria Math"/>
        </w:rPr>
        <w:t>. Further, in NTN, t</w:t>
      </w:r>
      <w:r w:rsidRPr="003F14E0">
        <w:t>here may be additional frequency offsets (FOs) due to satellite movement</w:t>
      </w:r>
      <w:r w:rsidR="009227A4">
        <w:t>. As a combined result</w:t>
      </w:r>
      <w:r w:rsidRPr="003F14E0">
        <w:t xml:space="preserve">, the UE may lock on to an incorrect </w:t>
      </w:r>
      <w:proofErr w:type="spellStart"/>
      <w:r w:rsidRPr="003F14E0">
        <w:t>Ncell</w:t>
      </w:r>
      <w:proofErr w:type="spellEnd"/>
      <w:r w:rsidRPr="003F14E0">
        <w:t xml:space="preserve"> frequency</w:t>
      </w:r>
      <w:r w:rsidR="009227A4">
        <w:t xml:space="preserve"> (by up to 100 kHz), as shown in </w:t>
      </w:r>
      <w:r w:rsidR="004F25FD">
        <w:t>Fig. 1</w:t>
      </w:r>
      <w:r w:rsidR="009227A4">
        <w:t xml:space="preserve"> below</w:t>
      </w:r>
      <w:r w:rsidR="0079595B">
        <w:t>.</w:t>
      </w:r>
    </w:p>
    <w:p w14:paraId="3CAA2536" w14:textId="77777777" w:rsidR="0040494C" w:rsidRDefault="00262FFA" w:rsidP="0040494C">
      <w:pPr>
        <w:keepNext/>
        <w:jc w:val="center"/>
      </w:pPr>
      <w:r>
        <w:rPr>
          <w:noProof/>
        </w:rPr>
        <w:drawing>
          <wp:inline distT="0" distB="0" distL="0" distR="0" wp14:anchorId="13E62451" wp14:editId="3E600CAD">
            <wp:extent cx="3470641" cy="2337757"/>
            <wp:effectExtent l="0" t="0" r="0" b="5715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st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385" cy="234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67C07" w14:textId="03EB1808" w:rsidR="00262FFA" w:rsidRDefault="0040494C" w:rsidP="0040494C">
      <w:pPr>
        <w:pStyle w:val="Caption"/>
        <w:jc w:val="center"/>
      </w:pPr>
      <w:r>
        <w:t xml:space="preserve">Figure </w:t>
      </w:r>
      <w:fldSimple w:instr=" SEQ Figure \* ARABIC ">
        <w:r w:rsidR="00A539D7">
          <w:rPr>
            <w:noProof/>
          </w:rPr>
          <w:t>1</w:t>
        </w:r>
      </w:fldSimple>
      <w:r>
        <w:t xml:space="preserve">: Illustration of UE estimating an incorrect frequency corresponding to a </w:t>
      </w:r>
      <w:proofErr w:type="spellStart"/>
      <w:r>
        <w:t>Ncell</w:t>
      </w:r>
      <w:proofErr w:type="spellEnd"/>
      <w:r>
        <w:t>.</w:t>
      </w:r>
    </w:p>
    <w:p w14:paraId="15690C76" w14:textId="20A45D54" w:rsidR="0079595B" w:rsidRPr="00F2289D" w:rsidRDefault="0079595B" w:rsidP="003F14E0">
      <w:pPr>
        <w:rPr>
          <w:b/>
          <w:bCs/>
        </w:rPr>
      </w:pPr>
      <w:r w:rsidRPr="00F2289D">
        <w:rPr>
          <w:b/>
          <w:bCs/>
          <w:i/>
          <w:iCs/>
          <w:u w:val="single"/>
        </w:rPr>
        <w:t>Observation</w:t>
      </w:r>
      <w:r w:rsidR="00264BDF">
        <w:rPr>
          <w:b/>
          <w:bCs/>
          <w:i/>
          <w:iCs/>
          <w:u w:val="single"/>
        </w:rPr>
        <w:t xml:space="preserve"> 1</w:t>
      </w:r>
      <w:r w:rsidRPr="00F2289D">
        <w:rPr>
          <w:b/>
          <w:bCs/>
        </w:rPr>
        <w:t xml:space="preserve">: </w:t>
      </w:r>
      <w:r w:rsidR="00E958E3" w:rsidRPr="00F2289D">
        <w:rPr>
          <w:b/>
          <w:bCs/>
        </w:rPr>
        <w:t xml:space="preserve">In S-band frequencies, the frequency error during initial </w:t>
      </w:r>
      <w:r w:rsidR="002500D0" w:rsidRPr="00F2289D">
        <w:rPr>
          <w:b/>
          <w:bCs/>
        </w:rPr>
        <w:t>downlink synchronization (initial cell access)</w:t>
      </w:r>
      <w:r w:rsidR="002162F8" w:rsidRPr="00F2289D">
        <w:rPr>
          <w:b/>
          <w:bCs/>
        </w:rPr>
        <w:t xml:space="preserve"> can be up to 47.5 kHz +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doppler</m:t>
            </m:r>
          </m:sub>
        </m:sSub>
      </m:oMath>
      <w:r w:rsidR="00F2289D" w:rsidRPr="00F2289D">
        <w:rPr>
          <w:b/>
          <w:bCs/>
        </w:rPr>
        <w:t>.</w:t>
      </w:r>
    </w:p>
    <w:p w14:paraId="10A1D084" w14:textId="318E0AEA" w:rsidR="00F2289D" w:rsidRDefault="00230057" w:rsidP="003F14E0">
      <w:r>
        <w:t xml:space="preserve">In order to mitigate the above possibility of </w:t>
      </w:r>
      <w:r w:rsidR="00595973">
        <w:t>a</w:t>
      </w:r>
      <w:r>
        <w:t xml:space="preserve"> UE locking on to a</w:t>
      </w:r>
      <w:r w:rsidR="0064384F">
        <w:t xml:space="preserve">n incorrect </w:t>
      </w:r>
      <w:r w:rsidR="00595973">
        <w:t xml:space="preserve">(N)cell </w:t>
      </w:r>
      <w:r w:rsidR="0064384F">
        <w:t>frequency, RAN1 may need to consider solutions</w:t>
      </w:r>
      <w:r w:rsidR="006530FE">
        <w:t xml:space="preserve"> that resolve this issue.</w:t>
      </w:r>
      <w:r w:rsidR="00C7266E">
        <w:t xml:space="preserve"> Examples of solutions include increasing the raster </w:t>
      </w:r>
      <w:r w:rsidR="005E55F7">
        <w:t xml:space="preserve">size from 100 kHz, including a portion of the Absolute Radio Frequency Channel Number (ARFCN) in the </w:t>
      </w:r>
      <w:r w:rsidR="00595973">
        <w:t>(</w:t>
      </w:r>
      <w:r w:rsidR="005E55F7">
        <w:t>NB-</w:t>
      </w:r>
      <w:r w:rsidR="00595973">
        <w:t>)</w:t>
      </w:r>
      <w:r w:rsidR="005E55F7">
        <w:t>MIB, and the like.</w:t>
      </w:r>
    </w:p>
    <w:p w14:paraId="7BC79D6F" w14:textId="702DC0C5" w:rsidR="00C15973" w:rsidRDefault="006530FE" w:rsidP="00C15973">
      <w:pPr>
        <w:rPr>
          <w:b/>
          <w:bCs/>
        </w:rPr>
      </w:pPr>
      <w:r w:rsidRPr="00B73FDF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1</w:t>
      </w:r>
      <w:r w:rsidRPr="00B73FDF">
        <w:rPr>
          <w:b/>
          <w:bCs/>
        </w:rPr>
        <w:t xml:space="preserve">: RAN1 to </w:t>
      </w:r>
      <w:r w:rsidR="0046275D">
        <w:rPr>
          <w:b/>
          <w:bCs/>
        </w:rPr>
        <w:t>study</w:t>
      </w:r>
      <w:r w:rsidRPr="00B73FDF">
        <w:rPr>
          <w:b/>
          <w:bCs/>
        </w:rPr>
        <w:t xml:space="preserve"> </w:t>
      </w:r>
      <w:r w:rsidR="00B73FDF" w:rsidRPr="00B73FDF">
        <w:rPr>
          <w:b/>
          <w:bCs/>
        </w:rPr>
        <w:t xml:space="preserve">enhancements to prevent </w:t>
      </w:r>
      <w:proofErr w:type="gramStart"/>
      <w:r w:rsidR="00B73FDF" w:rsidRPr="00B73FDF">
        <w:rPr>
          <w:b/>
          <w:bCs/>
        </w:rPr>
        <w:t>an</w:t>
      </w:r>
      <w:proofErr w:type="gramEnd"/>
      <w:r w:rsidR="00B73FDF" w:rsidRPr="00B73FDF">
        <w:rPr>
          <w:b/>
          <w:bCs/>
        </w:rPr>
        <w:t xml:space="preserve"> UE from locking on to an incorrect frequency corresponding to a </w:t>
      </w:r>
      <w:r w:rsidR="00595973">
        <w:rPr>
          <w:b/>
          <w:bCs/>
        </w:rPr>
        <w:t>(</w:t>
      </w:r>
      <w:r w:rsidR="00B73FDF" w:rsidRPr="00B73FDF">
        <w:rPr>
          <w:b/>
          <w:bCs/>
        </w:rPr>
        <w:t>N</w:t>
      </w:r>
      <w:r w:rsidR="00595973">
        <w:rPr>
          <w:b/>
          <w:bCs/>
        </w:rPr>
        <w:t>)</w:t>
      </w:r>
      <w:r w:rsidR="00B73FDF" w:rsidRPr="00B73FDF">
        <w:rPr>
          <w:b/>
          <w:bCs/>
        </w:rPr>
        <w:t>cell</w:t>
      </w:r>
      <w:r w:rsidR="00505979">
        <w:rPr>
          <w:b/>
          <w:bCs/>
        </w:rPr>
        <w:t xml:space="preserve">, such as increasing the raster size, or including a portion of the ARFCN in the </w:t>
      </w:r>
      <w:r w:rsidR="00595973">
        <w:rPr>
          <w:b/>
          <w:bCs/>
        </w:rPr>
        <w:t>(</w:t>
      </w:r>
      <w:r w:rsidR="00505979">
        <w:rPr>
          <w:b/>
          <w:bCs/>
        </w:rPr>
        <w:t>NB-</w:t>
      </w:r>
      <w:r w:rsidR="00595973">
        <w:rPr>
          <w:b/>
          <w:bCs/>
        </w:rPr>
        <w:t>)</w:t>
      </w:r>
      <w:r w:rsidR="00505979">
        <w:rPr>
          <w:b/>
          <w:bCs/>
        </w:rPr>
        <w:t>MIB.</w:t>
      </w:r>
    </w:p>
    <w:p w14:paraId="18A7FA2B" w14:textId="15ED410A" w:rsidR="003907A8" w:rsidRDefault="0015697F" w:rsidP="003907A8">
      <w:pPr>
        <w:pStyle w:val="Style2"/>
        <w:numPr>
          <w:ilvl w:val="1"/>
          <w:numId w:val="1"/>
        </w:numPr>
      </w:pPr>
      <w:r>
        <w:t>Deployment modes and NPBCH RE mapping</w:t>
      </w:r>
    </w:p>
    <w:p w14:paraId="27132677" w14:textId="084E6301" w:rsidR="00505979" w:rsidRDefault="00505979" w:rsidP="00C15973">
      <w:pPr>
        <w:rPr>
          <w:b/>
          <w:bCs/>
        </w:rPr>
      </w:pPr>
    </w:p>
    <w:p w14:paraId="6677E96A" w14:textId="1B77948E" w:rsidR="005A312F" w:rsidRDefault="00702EB8" w:rsidP="00C15973">
      <w:r w:rsidRPr="00702EB8">
        <w:t>As discussed</w:t>
      </w:r>
      <w:r>
        <w:t xml:space="preserve"> in our </w:t>
      </w:r>
      <w:r w:rsidR="00E670D8">
        <w:t>contribution on applicable scenarios [2]</w:t>
      </w:r>
      <w:r w:rsidR="0040494C">
        <w:t xml:space="preserve">, </w:t>
      </w:r>
      <w:r w:rsidR="004E26B2">
        <w:t>we think NB-IoT over NTN should support a standalone as well as in-band/guard-band of NR mode, and specifically, not support an in-band with LTE mode.</w:t>
      </w:r>
      <w:r w:rsidR="00AF71CE">
        <w:t xml:space="preserve"> In this setting, due to NR not having the “always on” CRS and PDCCH control region, </w:t>
      </w:r>
      <w:r w:rsidR="005A312F">
        <w:t>we can map the NPBCH to a larger set of R</w:t>
      </w:r>
      <w:r w:rsidR="002424FF">
        <w:t>E</w:t>
      </w:r>
      <w:r w:rsidR="005A312F">
        <w:t xml:space="preserve">s, thereby improving coverage by </w:t>
      </w:r>
      <m:oMath>
        <m:r>
          <w:rPr>
            <w:rFonts w:ascii="Cambria Math" w:hAnsi="Cambria Math"/>
          </w:rPr>
          <m:t>1.81 dB</m:t>
        </m:r>
      </m:oMath>
      <w:r w:rsidR="005A312F">
        <w:t xml:space="preserve">, as shown in </w:t>
      </w:r>
      <w:r w:rsidR="00610DC9">
        <w:t>Fig. 2</w:t>
      </w:r>
      <w:r w:rsidR="005A312F">
        <w:t>.</w:t>
      </w:r>
    </w:p>
    <w:p w14:paraId="57A3125F" w14:textId="62F83478" w:rsidR="007F72E4" w:rsidRDefault="007F72E4" w:rsidP="007F72E4">
      <w:r w:rsidRPr="002424FF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2</w:t>
      </w:r>
      <w:r>
        <w:t xml:space="preserve">:  </w:t>
      </w:r>
      <w:r w:rsidRPr="005B0A3D">
        <w:rPr>
          <w:b/>
          <w:bCs/>
        </w:rPr>
        <w:t>Support NB-IoT over NTN in standalone and in-band/guard-band with NR modes only.</w:t>
      </w:r>
    </w:p>
    <w:p w14:paraId="2A157063" w14:textId="49BD7747" w:rsidR="007F72E4" w:rsidRPr="007F72E4" w:rsidRDefault="007F72E4" w:rsidP="00C15973">
      <w:pPr>
        <w:rPr>
          <w:b/>
          <w:bCs/>
        </w:rPr>
      </w:pPr>
      <w:r w:rsidRPr="005B0A3D">
        <w:rPr>
          <w:b/>
          <w:bCs/>
          <w:i/>
          <w:iCs/>
          <w:u w:val="single"/>
        </w:rPr>
        <w:t>Proposal</w:t>
      </w:r>
      <w:r w:rsidR="00264BDF">
        <w:rPr>
          <w:b/>
          <w:bCs/>
          <w:i/>
          <w:iCs/>
          <w:u w:val="single"/>
        </w:rPr>
        <w:t xml:space="preserve"> 3</w:t>
      </w:r>
      <w:r w:rsidRPr="005B0A3D">
        <w:rPr>
          <w:b/>
          <w:bCs/>
        </w:rPr>
        <w:t xml:space="preserve">: Include the first three symbols in a subframe as well as the REs corresponding to the 4 CRS ports for rate matching the NPBCH. </w:t>
      </w:r>
    </w:p>
    <w:p w14:paraId="5B25429F" w14:textId="77777777" w:rsidR="00005C95" w:rsidRDefault="007F72E4" w:rsidP="00005C9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F8C920A" wp14:editId="41E52247">
            <wp:extent cx="2199319" cy="2908390"/>
            <wp:effectExtent l="0" t="0" r="0" b="6350"/>
            <wp:docPr id="19" name="Picture 19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NBPCH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071" cy="295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EC15D" w14:textId="0CB0EFB6" w:rsidR="005B0A3D" w:rsidRDefault="00005C95" w:rsidP="00005C95">
      <w:pPr>
        <w:pStyle w:val="Caption"/>
        <w:jc w:val="center"/>
      </w:pPr>
      <w:r>
        <w:t xml:space="preserve">Figure </w:t>
      </w:r>
      <w:fldSimple w:instr=" SEQ Figure \* ARABIC ">
        <w:r w:rsidR="00A539D7">
          <w:rPr>
            <w:noProof/>
          </w:rPr>
          <w:t>2</w:t>
        </w:r>
      </w:fldSimple>
      <w:r>
        <w:t>: Current time-frequency structure</w:t>
      </w:r>
      <w:r w:rsidR="001B1B3A">
        <w:t xml:space="preserve"> of an NPBCH subframe</w:t>
      </w:r>
      <w:r w:rsidR="004A772F">
        <w:t>.</w:t>
      </w:r>
    </w:p>
    <w:p w14:paraId="7F086D9E" w14:textId="3472C918" w:rsidR="007C0C7E" w:rsidRPr="00AE481C" w:rsidRDefault="00AE481C" w:rsidP="00983814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  <w:rPr>
          <w:lang w:val="en-US"/>
        </w:rPr>
      </w:pPr>
      <w:r>
        <w:t>Uplink synchronization</w:t>
      </w:r>
    </w:p>
    <w:p w14:paraId="7F5BE14A" w14:textId="524AC8BF" w:rsidR="00BA77E3" w:rsidRDefault="00BA77E3" w:rsidP="007C0C7E">
      <w:pPr>
        <w:rPr>
          <w:lang w:val="en-US"/>
        </w:rPr>
      </w:pPr>
      <w:r>
        <w:rPr>
          <w:lang w:val="en-US"/>
        </w:rPr>
        <w:t xml:space="preserve">As described in </w:t>
      </w:r>
      <w:r w:rsidR="001839D7">
        <w:rPr>
          <w:lang w:val="en-US"/>
        </w:rPr>
        <w:t xml:space="preserve">our contribution on scenarios applicable to </w:t>
      </w:r>
      <w:proofErr w:type="spellStart"/>
      <w:r w:rsidR="001839D7">
        <w:rPr>
          <w:lang w:val="en-US"/>
        </w:rPr>
        <w:t>eMTC</w:t>
      </w:r>
      <w:proofErr w:type="spellEnd"/>
      <w:r w:rsidR="001839D7">
        <w:rPr>
          <w:lang w:val="en-US"/>
        </w:rPr>
        <w:t xml:space="preserve">/NB-IoT over NTN [2], </w:t>
      </w:r>
      <w:r w:rsidR="00480C10">
        <w:rPr>
          <w:lang w:val="en-US"/>
        </w:rPr>
        <w:t xml:space="preserve">the initial time and frequency offsets for uplink synchronization are </w:t>
      </w:r>
      <w:r w:rsidR="00FA4CAA">
        <w:rPr>
          <w:lang w:val="en-US"/>
        </w:rPr>
        <w:t xml:space="preserve">directly related to the accuracy of the satellite location that is available at the UE. </w:t>
      </w:r>
      <w:r w:rsidR="00FB7C76">
        <w:rPr>
          <w:lang w:val="en-US"/>
        </w:rPr>
        <w:t xml:space="preserve">Depending on the </w:t>
      </w:r>
      <w:r w:rsidR="003B2922">
        <w:rPr>
          <w:lang w:val="en-US"/>
        </w:rPr>
        <w:t xml:space="preserve">agreements reached on the accuracy that a UE can achieve—including </w:t>
      </w:r>
      <w:r w:rsidR="00321A89">
        <w:rPr>
          <w:lang w:val="en-US"/>
        </w:rPr>
        <w:t>agreements on the frequency of system information reads that are required to facilitate that accuracy</w:t>
      </w:r>
      <w:r w:rsidR="007D461B">
        <w:rPr>
          <w:lang w:val="en-US"/>
        </w:rPr>
        <w:t xml:space="preserve">—we will need to </w:t>
      </w:r>
      <w:r w:rsidR="008744D8">
        <w:rPr>
          <w:lang w:val="en-US"/>
        </w:rPr>
        <w:t>study whether enhancements are required for PRACH, to support larger time and frequency offsets.</w:t>
      </w:r>
    </w:p>
    <w:p w14:paraId="04EF0B42" w14:textId="11F8E56B" w:rsidR="0010027A" w:rsidRDefault="00A45914" w:rsidP="007C0C7E">
      <w:pPr>
        <w:rPr>
          <w:b/>
          <w:bCs/>
          <w:lang w:val="en-US"/>
        </w:rPr>
      </w:pPr>
      <w:r w:rsidRPr="00900B1E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4</w:t>
      </w:r>
      <w:r w:rsidRPr="00900B1E">
        <w:rPr>
          <w:b/>
          <w:bCs/>
          <w:lang w:val="en-US"/>
        </w:rPr>
        <w:t xml:space="preserve">: RAN1 to study potential enhancements to </w:t>
      </w:r>
      <w:r w:rsidR="00595973">
        <w:rPr>
          <w:b/>
          <w:bCs/>
          <w:lang w:val="en-US"/>
        </w:rPr>
        <w:t>(N)</w:t>
      </w:r>
      <w:r w:rsidRPr="00900B1E">
        <w:rPr>
          <w:b/>
          <w:bCs/>
          <w:lang w:val="en-US"/>
        </w:rPr>
        <w:t xml:space="preserve">PRACH design, depending on the agreements on </w:t>
      </w:r>
      <w:r w:rsidR="000C6FD1" w:rsidRPr="00900B1E">
        <w:rPr>
          <w:b/>
          <w:bCs/>
          <w:lang w:val="en-US"/>
        </w:rPr>
        <w:t xml:space="preserve">satellite location </w:t>
      </w:r>
      <w:r w:rsidR="00900B1E" w:rsidRPr="00900B1E">
        <w:rPr>
          <w:b/>
          <w:bCs/>
          <w:lang w:val="en-US"/>
        </w:rPr>
        <w:t xml:space="preserve">accuracy at the UE </w:t>
      </w:r>
      <w:r w:rsidR="000C6FD1" w:rsidRPr="00900B1E">
        <w:rPr>
          <w:b/>
          <w:bCs/>
          <w:lang w:val="en-US"/>
        </w:rPr>
        <w:t>(including the frequency of SIB reads required to facilitate that accuracy)</w:t>
      </w:r>
      <w:r w:rsidR="00900B1E" w:rsidRPr="00900B1E">
        <w:rPr>
          <w:b/>
          <w:bCs/>
          <w:lang w:val="en-US"/>
        </w:rPr>
        <w:t>.</w:t>
      </w:r>
    </w:p>
    <w:p w14:paraId="5C9218F2" w14:textId="3D1C0400" w:rsidR="00EC678B" w:rsidRPr="00E778EC" w:rsidRDefault="00EC678B" w:rsidP="007C0C7E">
      <w:pPr>
        <w:rPr>
          <w:lang w:val="en-US"/>
        </w:rPr>
      </w:pPr>
      <w:r w:rsidRPr="00E778EC">
        <w:rPr>
          <w:lang w:val="en-US"/>
        </w:rPr>
        <w:t>Essentially, there are two different approaches that may be taken towards ensuring that uplink synchronization is achieved</w:t>
      </w:r>
      <w:r w:rsidR="00A61342">
        <w:rPr>
          <w:lang w:val="en-US"/>
        </w:rPr>
        <w:t xml:space="preserve"> for NB-IoT over NTN</w:t>
      </w:r>
      <w:r w:rsidRPr="00E778EC">
        <w:rPr>
          <w:lang w:val="en-US"/>
        </w:rPr>
        <w:t xml:space="preserve">. The first is to have a (GNSS-capable) UE obtain a GNSS fix frequently, as well as monitor SIB for satellite ephemeris information </w:t>
      </w:r>
      <w:r w:rsidR="0010027A" w:rsidRPr="00E778EC">
        <w:rPr>
          <w:lang w:val="en-US"/>
        </w:rPr>
        <w:t>before each</w:t>
      </w:r>
      <w:r w:rsidRPr="00E778EC">
        <w:rPr>
          <w:lang w:val="en-US"/>
        </w:rPr>
        <w:t xml:space="preserve"> </w:t>
      </w:r>
      <w:r w:rsidR="00E656B7">
        <w:rPr>
          <w:lang w:val="en-US"/>
        </w:rPr>
        <w:t>occasion in which</w:t>
      </w:r>
      <w:r w:rsidRPr="00E778EC">
        <w:rPr>
          <w:lang w:val="en-US"/>
        </w:rPr>
        <w:t xml:space="preserve"> the UE wishes to communicate: in conjunction with propagation algorithms, such an approach may facilitate tight </w:t>
      </w:r>
      <w:r w:rsidR="0010027A" w:rsidRPr="00E778EC">
        <w:rPr>
          <w:lang w:val="en-US"/>
        </w:rPr>
        <w:t>pre-compensation for UL time and frequency offsets, resulting in negligible performance loss in terms of inter</w:t>
      </w:r>
      <w:r w:rsidR="00292F3C">
        <w:rPr>
          <w:lang w:val="en-US"/>
        </w:rPr>
        <w:t>-</w:t>
      </w:r>
      <w:bookmarkStart w:id="2" w:name="_GoBack"/>
      <w:bookmarkEnd w:id="2"/>
      <w:r w:rsidR="0010027A" w:rsidRPr="00E778EC">
        <w:rPr>
          <w:lang w:val="en-US"/>
        </w:rPr>
        <w:t>carrier interference</w:t>
      </w:r>
      <w:r w:rsidR="00292F3C">
        <w:rPr>
          <w:lang w:val="en-US"/>
        </w:rPr>
        <w:t xml:space="preserve"> (ICI)</w:t>
      </w:r>
      <w:r w:rsidR="0010027A" w:rsidRPr="00E778EC">
        <w:rPr>
          <w:lang w:val="en-US"/>
        </w:rPr>
        <w:t xml:space="preserve"> between frequency-adjacent NPRACH preambles (which have a 3.75 kHz subcarrier spacing). However, this approach (frequent GNSS-fixes and SIB reads) may be prohibitive from a power-consumption perspective for IoT UEs. Moreover, there may be situations where the accuracy of the GNSS fix may be unreliable.</w:t>
      </w:r>
    </w:p>
    <w:p w14:paraId="204567DB" w14:textId="7DCD8237" w:rsidR="00BD1002" w:rsidRPr="00E778EC" w:rsidRDefault="003268C2" w:rsidP="007C0C7E">
      <w:pPr>
        <w:rPr>
          <w:lang w:val="en-US"/>
        </w:rPr>
      </w:pPr>
      <w:r w:rsidRPr="00E778EC">
        <w:rPr>
          <w:lang w:val="en-US"/>
        </w:rPr>
        <w:t xml:space="preserve">In contrast, a second approach is to apportion for potential errors in pre-compensation—either due to UE power savings considerations (less GNSS fixes and less SIB reads), or due to GNSS inaccuracy—such that potentially larger </w:t>
      </w:r>
      <w:r w:rsidR="00E656B7">
        <w:rPr>
          <w:lang w:val="en-US"/>
        </w:rPr>
        <w:t>initial</w:t>
      </w:r>
      <w:r w:rsidRPr="00E778EC">
        <w:rPr>
          <w:lang w:val="en-US"/>
        </w:rPr>
        <w:t xml:space="preserve"> time/frequency errors </w:t>
      </w:r>
      <w:r w:rsidR="00E656B7">
        <w:rPr>
          <w:lang w:val="en-US"/>
        </w:rPr>
        <w:t xml:space="preserve">in the uplink </w:t>
      </w:r>
      <w:r w:rsidRPr="00E778EC">
        <w:rPr>
          <w:lang w:val="en-US"/>
        </w:rPr>
        <w:t xml:space="preserve">can be corrected by the base station after </w:t>
      </w:r>
      <w:r w:rsidR="00E656B7">
        <w:rPr>
          <w:lang w:val="en-US"/>
        </w:rPr>
        <w:t xml:space="preserve">it </w:t>
      </w:r>
      <w:r w:rsidRPr="00E778EC">
        <w:rPr>
          <w:lang w:val="en-US"/>
        </w:rPr>
        <w:t>receiv</w:t>
      </w:r>
      <w:r w:rsidR="00E656B7">
        <w:rPr>
          <w:lang w:val="en-US"/>
        </w:rPr>
        <w:t>es</w:t>
      </w:r>
      <w:r w:rsidRPr="00E778EC">
        <w:rPr>
          <w:lang w:val="en-US"/>
        </w:rPr>
        <w:t xml:space="preserve"> an NPRACH preamble from the UE. One such </w:t>
      </w:r>
      <w:r w:rsidR="00D02D2E">
        <w:rPr>
          <w:lang w:val="en-US"/>
        </w:rPr>
        <w:t>solution</w:t>
      </w:r>
      <w:r w:rsidRPr="00E778EC">
        <w:rPr>
          <w:lang w:val="en-US"/>
        </w:rPr>
        <w:t xml:space="preserve"> is to restrict NPRACH starting subcarriers (</w:t>
      </w:r>
      <w:r w:rsidR="00D02D2E">
        <w:rPr>
          <w:lang w:val="en-US"/>
        </w:rPr>
        <w:t xml:space="preserve">e.g., </w:t>
      </w:r>
      <w:r w:rsidRPr="00E778EC">
        <w:rPr>
          <w:lang w:val="en-US"/>
        </w:rPr>
        <w:t xml:space="preserve">over a subset of all available </w:t>
      </w:r>
      <w:r w:rsidR="00D02D2E">
        <w:rPr>
          <w:lang w:val="en-US"/>
        </w:rPr>
        <w:t xml:space="preserve">starting </w:t>
      </w:r>
      <w:r w:rsidRPr="00E778EC">
        <w:rPr>
          <w:lang w:val="en-US"/>
        </w:rPr>
        <w:t xml:space="preserve">subcarriers) that a UE can use for </w:t>
      </w:r>
      <w:r w:rsidR="00BD1002" w:rsidRPr="00E778EC">
        <w:rPr>
          <w:lang w:val="en-US"/>
        </w:rPr>
        <w:t xml:space="preserve">contention-based random access (CBRA). The simplest example is shown in Fig. 3 below, where “alternate starting subcarriers” can be </w:t>
      </w:r>
      <w:r w:rsidR="00D02D2E">
        <w:rPr>
          <w:lang w:val="en-US"/>
        </w:rPr>
        <w:t>selected by UEs</w:t>
      </w:r>
      <w:r w:rsidR="00BD1002" w:rsidRPr="00E778EC">
        <w:rPr>
          <w:lang w:val="en-US"/>
        </w:rPr>
        <w:t xml:space="preserve"> for CBRA.</w:t>
      </w:r>
    </w:p>
    <w:p w14:paraId="023495B4" w14:textId="77777777" w:rsidR="00E778EC" w:rsidRDefault="001711B6" w:rsidP="00E778EC">
      <w:pPr>
        <w:keepNext/>
        <w:jc w:val="center"/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05F41B48" wp14:editId="46C2D55B">
            <wp:extent cx="4885899" cy="2637341"/>
            <wp:effectExtent l="0" t="0" r="0" b="0"/>
            <wp:docPr id="2" name="Picture 2" descr="Chart, treemap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ternate_Loacing_NPRACH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557" cy="264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D230" w14:textId="2641661C" w:rsidR="001711B6" w:rsidRDefault="00E778EC" w:rsidP="00E778EC">
      <w:pPr>
        <w:pStyle w:val="Caption"/>
        <w:jc w:val="center"/>
        <w:rPr>
          <w:b w:val="0"/>
          <w:bCs w:val="0"/>
        </w:rPr>
      </w:pPr>
      <w:r>
        <w:t xml:space="preserve">Figure </w:t>
      </w:r>
      <w:fldSimple w:instr=" SEQ Figure \* ARABIC ">
        <w:r w:rsidR="00A539D7">
          <w:rPr>
            <w:noProof/>
          </w:rPr>
          <w:t>3</w:t>
        </w:r>
      </w:fldSimple>
      <w:r>
        <w:t>: Example of "restriction</w:t>
      </w:r>
      <w:r w:rsidR="00A539D7">
        <w:t>s</w:t>
      </w:r>
      <w:r>
        <w:t>" on starting NPRACH subcarriers for CBRA. Alternate starting subcarriers may be selected for NPRACH transmission by a UE.</w:t>
      </w:r>
    </w:p>
    <w:p w14:paraId="37B43CB9" w14:textId="182500C3" w:rsidR="003268C2" w:rsidRDefault="00BD1002" w:rsidP="007C0C7E">
      <w:pPr>
        <w:rPr>
          <w:lang w:val="en-US"/>
        </w:rPr>
      </w:pPr>
      <w:r w:rsidRPr="00A539D7">
        <w:rPr>
          <w:lang w:val="en-US"/>
        </w:rPr>
        <w:t xml:space="preserve">We show in Fig. 4 that with this restriction, the robustness of uplink synchronization improves significantly. </w:t>
      </w:r>
      <w:r w:rsidR="00D02D2E">
        <w:rPr>
          <w:lang w:val="en-US"/>
        </w:rPr>
        <w:t xml:space="preserve">This is due to the increased resiliency to ICI among preambles that is afforded by this design. </w:t>
      </w:r>
      <w:r w:rsidRPr="00A539D7">
        <w:rPr>
          <w:lang w:val="en-US"/>
        </w:rPr>
        <w:t xml:space="preserve">Even with </w:t>
      </w:r>
      <w:r w:rsidR="009F0D04">
        <w:rPr>
          <w:lang w:val="en-US"/>
        </w:rPr>
        <w:t>relatively</w:t>
      </w:r>
      <w:r w:rsidRPr="00A539D7">
        <w:rPr>
          <w:lang w:val="en-US"/>
        </w:rPr>
        <w:t xml:space="preserve"> large initial uplink frequency errors (e.g., up to 1kHz), the base station </w:t>
      </w:r>
      <w:r w:rsidR="005B6775" w:rsidRPr="00A539D7">
        <w:rPr>
          <w:lang w:val="en-US"/>
        </w:rPr>
        <w:t>can</w:t>
      </w:r>
      <w:r w:rsidRPr="00A539D7">
        <w:rPr>
          <w:lang w:val="en-US"/>
        </w:rPr>
        <w:t xml:space="preserve"> determine and correct for these errors effectively (as demonstrated by the CDF</w:t>
      </w:r>
      <w:r w:rsidR="00FC6E28">
        <w:rPr>
          <w:lang w:val="en-US"/>
        </w:rPr>
        <w:t>s</w:t>
      </w:r>
      <w:r w:rsidRPr="00A539D7">
        <w:rPr>
          <w:lang w:val="en-US"/>
        </w:rPr>
        <w:t xml:space="preserve"> of residual timing and frequency errors after base-station processing of the NPRACH preamble). In the CDFs in Fig. 4, we see that </w:t>
      </w:r>
      <w:r w:rsidR="001711B6" w:rsidRPr="00A539D7">
        <w:rPr>
          <w:lang w:val="en-US"/>
        </w:rPr>
        <w:t xml:space="preserve">with the alternate subcarrier </w:t>
      </w:r>
      <w:r w:rsidR="00CE5EA5">
        <w:rPr>
          <w:lang w:val="en-US"/>
        </w:rPr>
        <w:t xml:space="preserve">restriction </w:t>
      </w:r>
      <w:r w:rsidR="001711B6" w:rsidRPr="00A539D7">
        <w:rPr>
          <w:lang w:val="en-US"/>
        </w:rPr>
        <w:t>scheme</w:t>
      </w:r>
      <w:r w:rsidR="00CE5EA5">
        <w:rPr>
          <w:lang w:val="en-US"/>
        </w:rPr>
        <w:t xml:space="preserve"> (the red curve)</w:t>
      </w:r>
      <w:r w:rsidR="001711B6" w:rsidRPr="00A539D7">
        <w:rPr>
          <w:lang w:val="en-US"/>
        </w:rPr>
        <w:t xml:space="preserve">, </w:t>
      </w:r>
      <w:r w:rsidRPr="00A539D7">
        <w:rPr>
          <w:lang w:val="en-US"/>
        </w:rPr>
        <w:t>the probability of the residual timing error</w:t>
      </w:r>
      <w:r w:rsidR="001711B6" w:rsidRPr="00A539D7">
        <w:rPr>
          <w:lang w:val="en-US"/>
        </w:rPr>
        <w:t>s</w:t>
      </w:r>
      <w:r w:rsidRPr="00A539D7">
        <w:rPr>
          <w:lang w:val="en-US"/>
        </w:rPr>
        <w:t xml:space="preserve"> (after base-station processing)</w:t>
      </w:r>
      <w:r w:rsidR="001711B6" w:rsidRPr="00A539D7">
        <w:rPr>
          <w:lang w:val="en-US"/>
        </w:rPr>
        <w:t xml:space="preserve"> being outside +/- CP/2 (of NPUSCH) is very close to that of “unloaded” transmission—i.e., when only one preamble is transmitted—even with an up to 1</w:t>
      </w:r>
      <w:r w:rsidR="00486BCA">
        <w:rPr>
          <w:lang w:val="en-US"/>
        </w:rPr>
        <w:t xml:space="preserve"> k</w:t>
      </w:r>
      <w:r w:rsidR="001711B6" w:rsidRPr="00A539D7">
        <w:rPr>
          <w:lang w:val="en-US"/>
        </w:rPr>
        <w:t>Hz initial frequency synchronization error. In contrast, in the “fully loaded” setting—i.e., when all preambles are used for NPRACH transmission by (e.g., other) UEs</w:t>
      </w:r>
      <w:r w:rsidR="00486BCA">
        <w:rPr>
          <w:lang w:val="en-US"/>
        </w:rPr>
        <w:t xml:space="preserve"> (represented by the cyan curve)</w:t>
      </w:r>
      <w:r w:rsidR="001711B6" w:rsidRPr="00A539D7">
        <w:rPr>
          <w:lang w:val="en-US"/>
        </w:rPr>
        <w:t>, the probability of residual timing errors after base-station processing being greater than +/- CP/2 increases significantly.</w:t>
      </w:r>
    </w:p>
    <w:p w14:paraId="1217D43C" w14:textId="77777777" w:rsidR="00A539D7" w:rsidRDefault="00A539D7" w:rsidP="00A539D7">
      <w:pPr>
        <w:keepNext/>
        <w:jc w:val="center"/>
      </w:pPr>
      <w:r w:rsidRPr="00A539D7">
        <w:drawing>
          <wp:inline distT="0" distB="0" distL="0" distR="0" wp14:anchorId="6DA089E1" wp14:editId="47D0880F">
            <wp:extent cx="3848669" cy="2886501"/>
            <wp:effectExtent l="0" t="0" r="0" b="9525"/>
            <wp:docPr id="5" name="Picture 4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ED251A3-F130-44CB-A22E-622A21DD76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9ED251A3-F130-44CB-A22E-622A21DD76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296" cy="289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836E9" w14:textId="2A3ADD5B" w:rsidR="00A539D7" w:rsidRDefault="00A539D7" w:rsidP="00A539D7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: </w:t>
      </w:r>
      <w:r w:rsidR="00FC6E28">
        <w:t>Cumulative distribution functions (CDFs) of r</w:t>
      </w:r>
      <w:r>
        <w:t>esidual timing error after base-station processing of NPRACH preambles transmitted by UE</w:t>
      </w:r>
      <w:r w:rsidR="002261C8">
        <w:t>(s)</w:t>
      </w:r>
      <w:r>
        <w:t>. In this setting, initial frequency errors can be up to +/- 1 kHz, and the power levels of different UEs are within +/- 10 dB of each other.</w:t>
      </w:r>
    </w:p>
    <w:p w14:paraId="2F4AADC6" w14:textId="2AAD1D8F" w:rsidR="00486BCA" w:rsidRDefault="00486BCA" w:rsidP="00486BCA">
      <w:pPr>
        <w:rPr>
          <w:lang w:val="en-US"/>
        </w:rPr>
      </w:pPr>
      <w:r>
        <w:rPr>
          <w:lang w:val="en-US"/>
        </w:rPr>
        <w:t>Considering the above discussion, we make the following observation.</w:t>
      </w:r>
    </w:p>
    <w:p w14:paraId="1FAE285B" w14:textId="09A17787" w:rsidR="00486BCA" w:rsidRPr="00486BCA" w:rsidRDefault="00486BCA" w:rsidP="00486BCA">
      <w:pPr>
        <w:rPr>
          <w:b/>
          <w:bCs/>
          <w:lang w:val="en-US"/>
        </w:rPr>
      </w:pPr>
      <w:r w:rsidRPr="00486BCA">
        <w:rPr>
          <w:b/>
          <w:bCs/>
          <w:i/>
          <w:iCs/>
          <w:u w:val="single"/>
          <w:lang w:val="en-US"/>
        </w:rPr>
        <w:t>Observation 2</w:t>
      </w:r>
      <w:r w:rsidRPr="00486BCA">
        <w:rPr>
          <w:b/>
          <w:bCs/>
          <w:lang w:val="en-US"/>
        </w:rPr>
        <w:t xml:space="preserve">: Restricting alternate starting subcarriers for NPRACH transmissions allows to correct for potentially large initial </w:t>
      </w:r>
      <w:r>
        <w:rPr>
          <w:b/>
          <w:bCs/>
          <w:lang w:val="en-US"/>
        </w:rPr>
        <w:t xml:space="preserve">uplink </w:t>
      </w:r>
      <w:r w:rsidRPr="00486BCA">
        <w:rPr>
          <w:b/>
          <w:bCs/>
          <w:lang w:val="en-US"/>
        </w:rPr>
        <w:t>frequency synchronization errors (e.g., up to 1 kHz)</w:t>
      </w:r>
    </w:p>
    <w:p w14:paraId="491C907D" w14:textId="31373428" w:rsidR="00486BCA" w:rsidRPr="00486BCA" w:rsidRDefault="00486BCA" w:rsidP="00486BCA">
      <w:pPr>
        <w:pStyle w:val="ListParagraph"/>
        <w:numPr>
          <w:ilvl w:val="0"/>
          <w:numId w:val="24"/>
        </w:numPr>
        <w:rPr>
          <w:b/>
          <w:bCs/>
          <w:lang w:val="en-US"/>
        </w:rPr>
      </w:pPr>
      <w:r w:rsidRPr="00486BCA">
        <w:rPr>
          <w:b/>
          <w:bCs/>
          <w:lang w:val="en-US"/>
        </w:rPr>
        <w:lastRenderedPageBreak/>
        <w:t xml:space="preserve">Such a scheme may facilitate </w:t>
      </w:r>
      <w:r w:rsidR="00FB4DA7">
        <w:rPr>
          <w:b/>
          <w:bCs/>
          <w:lang w:val="en-US"/>
        </w:rPr>
        <w:t xml:space="preserve">significant </w:t>
      </w:r>
      <w:r w:rsidRPr="00486BCA">
        <w:rPr>
          <w:b/>
          <w:bCs/>
          <w:lang w:val="en-US"/>
        </w:rPr>
        <w:t>UE power savings by requiring less tight pre-compensation requirements</w:t>
      </w:r>
      <w:r w:rsidR="00FB4DA7">
        <w:rPr>
          <w:b/>
          <w:bCs/>
          <w:lang w:val="en-US"/>
        </w:rPr>
        <w:t xml:space="preserve"> in the form of</w:t>
      </w:r>
      <w:r w:rsidR="00F450FF">
        <w:rPr>
          <w:b/>
          <w:bCs/>
          <w:lang w:val="en-US"/>
        </w:rPr>
        <w:t xml:space="preserve"> relaxations in the</w:t>
      </w:r>
      <w:r w:rsidRPr="00486BCA">
        <w:rPr>
          <w:b/>
          <w:bCs/>
          <w:lang w:val="en-US"/>
        </w:rPr>
        <w:t xml:space="preserve"> frequency and accuracy of GNSS fixes and SIB reads (to acquire satellite ephemeris) required.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num" w:pos="720"/>
        </w:tabs>
        <w:ind w:left="720" w:hanging="720"/>
        <w:jc w:val="both"/>
      </w:pPr>
      <w:r>
        <w:t>Conclusion</w:t>
      </w:r>
    </w:p>
    <w:p w14:paraId="2BBDA5A1" w14:textId="6F433C5F" w:rsidR="009D5294" w:rsidRDefault="000236C6" w:rsidP="006C1D96">
      <w:r w:rsidRPr="000236C6">
        <w:t xml:space="preserve">In this contribution we presented our initial views on </w:t>
      </w:r>
      <w:r w:rsidR="000B3E7A">
        <w:t>enhancements to NB-IoT/</w:t>
      </w:r>
      <w:proofErr w:type="spellStart"/>
      <w:r w:rsidR="000B3E7A">
        <w:t>eMTC</w:t>
      </w:r>
      <w:proofErr w:type="spellEnd"/>
      <w:r w:rsidR="000B3E7A">
        <w:t xml:space="preserve"> over NTN as it relates to time and frequency synchronization</w:t>
      </w:r>
      <w:r w:rsidRPr="000236C6">
        <w:t xml:space="preserve">. </w:t>
      </w:r>
      <w:r w:rsidR="00BC3A60">
        <w:t>We summarize our proposals below.</w:t>
      </w:r>
    </w:p>
    <w:p w14:paraId="5721DC97" w14:textId="77777777" w:rsidR="004C5F77" w:rsidRPr="00F2289D" w:rsidRDefault="004C5F77" w:rsidP="004C5F77">
      <w:pPr>
        <w:rPr>
          <w:b/>
          <w:bCs/>
        </w:rPr>
      </w:pPr>
      <w:r w:rsidRPr="00F2289D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1</w:t>
      </w:r>
      <w:r w:rsidRPr="00F2289D">
        <w:rPr>
          <w:b/>
          <w:bCs/>
        </w:rPr>
        <w:t xml:space="preserve">: In S-band frequencies, the frequency error during initial downlink synchronization (initial cell access) can be up to 47.5 kHz + </w:t>
      </w:r>
      <m:oMath>
        <m:r>
          <m:rPr>
            <m:sty m:val="bi"/>
          </m:rP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doppler</m:t>
            </m:r>
          </m:sub>
        </m:sSub>
      </m:oMath>
      <w:r w:rsidRPr="00F2289D">
        <w:rPr>
          <w:b/>
          <w:bCs/>
        </w:rPr>
        <w:t>.</w:t>
      </w:r>
    </w:p>
    <w:p w14:paraId="4918674B" w14:textId="77777777" w:rsidR="004C5F77" w:rsidRDefault="004C5F77" w:rsidP="004C5F77">
      <w:pPr>
        <w:rPr>
          <w:b/>
          <w:bCs/>
        </w:rPr>
      </w:pPr>
      <w:r w:rsidRPr="00B73FDF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1</w:t>
      </w:r>
      <w:r w:rsidRPr="00B73FDF">
        <w:rPr>
          <w:b/>
          <w:bCs/>
        </w:rPr>
        <w:t xml:space="preserve">: RAN1 to </w:t>
      </w:r>
      <w:r>
        <w:rPr>
          <w:b/>
          <w:bCs/>
        </w:rPr>
        <w:t>study</w:t>
      </w:r>
      <w:r w:rsidRPr="00B73FDF">
        <w:rPr>
          <w:b/>
          <w:bCs/>
        </w:rPr>
        <w:t xml:space="preserve"> enhancements to prevent </w:t>
      </w:r>
      <w:proofErr w:type="gramStart"/>
      <w:r w:rsidRPr="00B73FDF">
        <w:rPr>
          <w:b/>
          <w:bCs/>
        </w:rPr>
        <w:t>an</w:t>
      </w:r>
      <w:proofErr w:type="gramEnd"/>
      <w:r w:rsidRPr="00B73FDF">
        <w:rPr>
          <w:b/>
          <w:bCs/>
        </w:rPr>
        <w:t xml:space="preserve"> UE from locking on to an incorrect frequency corresponding to a </w:t>
      </w:r>
      <w:r>
        <w:rPr>
          <w:b/>
          <w:bCs/>
        </w:rPr>
        <w:t>(</w:t>
      </w:r>
      <w:r w:rsidRPr="00B73FDF">
        <w:rPr>
          <w:b/>
          <w:bCs/>
        </w:rPr>
        <w:t>N</w:t>
      </w:r>
      <w:r>
        <w:rPr>
          <w:b/>
          <w:bCs/>
        </w:rPr>
        <w:t>)</w:t>
      </w:r>
      <w:r w:rsidRPr="00B73FDF">
        <w:rPr>
          <w:b/>
          <w:bCs/>
        </w:rPr>
        <w:t>cell</w:t>
      </w:r>
      <w:r>
        <w:rPr>
          <w:b/>
          <w:bCs/>
        </w:rPr>
        <w:t>, such as increasing the raster size, or including a portion of the ARFCN in the (NB-)MIB.</w:t>
      </w:r>
    </w:p>
    <w:p w14:paraId="483F8B4D" w14:textId="77777777" w:rsidR="004C5F77" w:rsidRDefault="004C5F77" w:rsidP="004C5F77">
      <w:r w:rsidRPr="002424FF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2</w:t>
      </w:r>
      <w:r>
        <w:t xml:space="preserve">:  </w:t>
      </w:r>
      <w:r w:rsidRPr="005B0A3D">
        <w:rPr>
          <w:b/>
          <w:bCs/>
        </w:rPr>
        <w:t>Support NB-IoT over NTN in standalone and in-band/guard-band with NR modes only.</w:t>
      </w:r>
    </w:p>
    <w:p w14:paraId="48CFE7C2" w14:textId="77777777" w:rsidR="004C5F77" w:rsidRPr="007F72E4" w:rsidRDefault="004C5F77" w:rsidP="004C5F77">
      <w:pPr>
        <w:rPr>
          <w:b/>
          <w:bCs/>
        </w:rPr>
      </w:pPr>
      <w:r w:rsidRPr="005B0A3D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3</w:t>
      </w:r>
      <w:r w:rsidRPr="005B0A3D">
        <w:rPr>
          <w:b/>
          <w:bCs/>
        </w:rPr>
        <w:t xml:space="preserve">: Include the first three symbols in a subframe as well as the REs corresponding to the 4 CRS ports for rate matching the NPBCH. </w:t>
      </w:r>
    </w:p>
    <w:p w14:paraId="6AFACEB2" w14:textId="45FB14AC" w:rsidR="004C5F77" w:rsidRDefault="004C5F77" w:rsidP="004C5F77">
      <w:pPr>
        <w:rPr>
          <w:b/>
          <w:bCs/>
          <w:lang w:val="en-US"/>
        </w:rPr>
      </w:pPr>
      <w:r w:rsidRPr="00900B1E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4</w:t>
      </w:r>
      <w:r w:rsidRPr="00900B1E">
        <w:rPr>
          <w:b/>
          <w:bCs/>
          <w:lang w:val="en-US"/>
        </w:rPr>
        <w:t xml:space="preserve">: RAN1 to study potential enhancements to </w:t>
      </w:r>
      <w:r>
        <w:rPr>
          <w:b/>
          <w:bCs/>
          <w:lang w:val="en-US"/>
        </w:rPr>
        <w:t>(N)</w:t>
      </w:r>
      <w:r w:rsidRPr="00900B1E">
        <w:rPr>
          <w:b/>
          <w:bCs/>
          <w:lang w:val="en-US"/>
        </w:rPr>
        <w:t>PRACH design, depending on the agreements on satellite location accuracy at the UE (including the frequency of SIB reads required to facilitate that accuracy).</w:t>
      </w:r>
    </w:p>
    <w:p w14:paraId="6FF8F39F" w14:textId="77777777" w:rsidR="008F61E0" w:rsidRPr="00486BCA" w:rsidRDefault="008F61E0" w:rsidP="008F61E0">
      <w:pPr>
        <w:rPr>
          <w:b/>
          <w:bCs/>
          <w:lang w:val="en-US"/>
        </w:rPr>
      </w:pPr>
      <w:r w:rsidRPr="00486BCA">
        <w:rPr>
          <w:b/>
          <w:bCs/>
          <w:i/>
          <w:iCs/>
          <w:u w:val="single"/>
          <w:lang w:val="en-US"/>
        </w:rPr>
        <w:t>Observation 2</w:t>
      </w:r>
      <w:r w:rsidRPr="00486BCA">
        <w:rPr>
          <w:b/>
          <w:bCs/>
          <w:lang w:val="en-US"/>
        </w:rPr>
        <w:t xml:space="preserve">: Restricting alternate starting subcarriers for NPRACH transmissions allows to correct for potentially large initial </w:t>
      </w:r>
      <w:r>
        <w:rPr>
          <w:b/>
          <w:bCs/>
          <w:lang w:val="en-US"/>
        </w:rPr>
        <w:t xml:space="preserve">uplink </w:t>
      </w:r>
      <w:r w:rsidRPr="00486BCA">
        <w:rPr>
          <w:b/>
          <w:bCs/>
          <w:lang w:val="en-US"/>
        </w:rPr>
        <w:t>frequency synchronization errors (e.g., up to 1 kHz)</w:t>
      </w:r>
    </w:p>
    <w:p w14:paraId="4C54E599" w14:textId="67CC82A4" w:rsidR="008F61E0" w:rsidRPr="008F61E0" w:rsidRDefault="008F61E0" w:rsidP="004C5F77">
      <w:pPr>
        <w:pStyle w:val="ListParagraph"/>
        <w:numPr>
          <w:ilvl w:val="0"/>
          <w:numId w:val="24"/>
        </w:numPr>
        <w:rPr>
          <w:b/>
          <w:bCs/>
          <w:lang w:val="en-US"/>
        </w:rPr>
      </w:pPr>
      <w:r w:rsidRPr="00486BCA">
        <w:rPr>
          <w:b/>
          <w:bCs/>
          <w:lang w:val="en-US"/>
        </w:rPr>
        <w:t xml:space="preserve">Such a scheme may facilitate </w:t>
      </w:r>
      <w:r>
        <w:rPr>
          <w:b/>
          <w:bCs/>
          <w:lang w:val="en-US"/>
        </w:rPr>
        <w:t xml:space="preserve">significant </w:t>
      </w:r>
      <w:r w:rsidRPr="00486BCA">
        <w:rPr>
          <w:b/>
          <w:bCs/>
          <w:lang w:val="en-US"/>
        </w:rPr>
        <w:t>UE power savings by requiring less tight pre-compensation requirements</w:t>
      </w:r>
      <w:r>
        <w:rPr>
          <w:b/>
          <w:bCs/>
          <w:lang w:val="en-US"/>
        </w:rPr>
        <w:t xml:space="preserve"> in the form of relaxations in the</w:t>
      </w:r>
      <w:r w:rsidRPr="00486BCA">
        <w:rPr>
          <w:b/>
          <w:bCs/>
          <w:lang w:val="en-US"/>
        </w:rPr>
        <w:t xml:space="preserve"> frequency and accuracy of GNSS fixes and SIB reads (to acquire satellite ephemeris) required.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57526285" w:rsidR="002D79FA" w:rsidRDefault="00874392" w:rsidP="002D79FA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p w14:paraId="40CB324D" w14:textId="10A5A35A" w:rsidR="006C1D96" w:rsidRPr="001B159B" w:rsidRDefault="00E670D8" w:rsidP="001B159B">
      <w:r>
        <w:rPr>
          <w:lang w:val="en-US"/>
        </w:rPr>
        <w:t xml:space="preserve">[2] </w:t>
      </w:r>
      <w:r w:rsidR="00B41C5A" w:rsidRPr="00B41C5A">
        <w:rPr>
          <w:lang w:val="en-US"/>
        </w:rPr>
        <w:t>R1-2101512</w:t>
      </w:r>
      <w:r w:rsidR="00963807">
        <w:rPr>
          <w:lang w:val="en-US"/>
        </w:rPr>
        <w:t>, “</w:t>
      </w:r>
      <w:r w:rsidR="00AE187B" w:rsidRPr="00AE187B">
        <w:rPr>
          <w:lang w:val="en-US"/>
        </w:rPr>
        <w:t>Scenarios applicable to NB-IoT/</w:t>
      </w:r>
      <w:proofErr w:type="spellStart"/>
      <w:r w:rsidR="00AE187B" w:rsidRPr="00AE187B">
        <w:rPr>
          <w:lang w:val="en-US"/>
        </w:rPr>
        <w:t>eMTC</w:t>
      </w:r>
      <w:proofErr w:type="spellEnd"/>
      <w:r w:rsidR="00963807">
        <w:rPr>
          <w:lang w:val="en-US"/>
        </w:rPr>
        <w:t>” by Qualcomm Incorporated, RAN1 10</w:t>
      </w:r>
      <w:r w:rsidR="00292507">
        <w:rPr>
          <w:lang w:val="en-US"/>
        </w:rPr>
        <w:t>4</w:t>
      </w:r>
      <w:r w:rsidR="00963807">
        <w:rPr>
          <w:lang w:val="en-US"/>
        </w:rPr>
        <w:t>-e</w:t>
      </w:r>
      <w:r w:rsidR="007C3908">
        <w:rPr>
          <w:lang w:val="en-US"/>
        </w:rPr>
        <w:t>.</w:t>
      </w:r>
    </w:p>
    <w:sectPr w:rsidR="006C1D96" w:rsidRPr="001B159B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27E73" w14:textId="77777777" w:rsidR="00013519" w:rsidRDefault="00013519">
      <w:pPr>
        <w:spacing w:after="0"/>
      </w:pPr>
      <w:r>
        <w:separator/>
      </w:r>
    </w:p>
  </w:endnote>
  <w:endnote w:type="continuationSeparator" w:id="0">
    <w:p w14:paraId="2ED05796" w14:textId="77777777" w:rsidR="00013519" w:rsidRDefault="00013519">
      <w:pPr>
        <w:spacing w:after="0"/>
      </w:pPr>
      <w:r>
        <w:continuationSeparator/>
      </w:r>
    </w:p>
  </w:endnote>
  <w:endnote w:type="continuationNotice" w:id="1">
    <w:p w14:paraId="2D2B6499" w14:textId="77777777" w:rsidR="00013519" w:rsidRDefault="00013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1B64" w14:textId="77777777" w:rsidR="00013519" w:rsidRDefault="00013519">
      <w:pPr>
        <w:spacing w:after="0"/>
      </w:pPr>
      <w:r>
        <w:separator/>
      </w:r>
    </w:p>
  </w:footnote>
  <w:footnote w:type="continuationSeparator" w:id="0">
    <w:p w14:paraId="47BFE14C" w14:textId="77777777" w:rsidR="00013519" w:rsidRDefault="00013519">
      <w:pPr>
        <w:spacing w:after="0"/>
      </w:pPr>
      <w:r>
        <w:continuationSeparator/>
      </w:r>
    </w:p>
  </w:footnote>
  <w:footnote w:type="continuationNotice" w:id="1">
    <w:p w14:paraId="6BE106E0" w14:textId="77777777" w:rsidR="00013519" w:rsidRDefault="000135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B52D04"/>
    <w:multiLevelType w:val="hybridMultilevel"/>
    <w:tmpl w:val="E902792A"/>
    <w:lvl w:ilvl="0" w:tplc="C6F2DF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1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0"/>
  </w:num>
  <w:num w:numId="8">
    <w:abstractNumId w:val="7"/>
  </w:num>
  <w:num w:numId="9">
    <w:abstractNumId w:val="22"/>
  </w:num>
  <w:num w:numId="10">
    <w:abstractNumId w:val="13"/>
  </w:num>
  <w:num w:numId="11">
    <w:abstractNumId w:val="5"/>
  </w:num>
  <w:num w:numId="12">
    <w:abstractNumId w:val="1"/>
  </w:num>
  <w:num w:numId="13">
    <w:abstractNumId w:val="23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13519"/>
    <w:rsid w:val="00013AC4"/>
    <w:rsid w:val="00017C6B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E6B"/>
    <w:rsid w:val="000B1990"/>
    <w:rsid w:val="000B3E7A"/>
    <w:rsid w:val="000C6FD1"/>
    <w:rsid w:val="000D4151"/>
    <w:rsid w:val="000E1342"/>
    <w:rsid w:val="000E330D"/>
    <w:rsid w:val="000F70C7"/>
    <w:rsid w:val="0010027A"/>
    <w:rsid w:val="0010253A"/>
    <w:rsid w:val="001030EF"/>
    <w:rsid w:val="00114D8E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711B6"/>
    <w:rsid w:val="001839D7"/>
    <w:rsid w:val="001905A1"/>
    <w:rsid w:val="00190E24"/>
    <w:rsid w:val="001A1B4E"/>
    <w:rsid w:val="001A1E09"/>
    <w:rsid w:val="001A452F"/>
    <w:rsid w:val="001B159B"/>
    <w:rsid w:val="001B1620"/>
    <w:rsid w:val="001B1B3A"/>
    <w:rsid w:val="001B1EC7"/>
    <w:rsid w:val="001B2E20"/>
    <w:rsid w:val="001B36F8"/>
    <w:rsid w:val="001B71F9"/>
    <w:rsid w:val="001C099B"/>
    <w:rsid w:val="001C6F21"/>
    <w:rsid w:val="001D0240"/>
    <w:rsid w:val="001E008E"/>
    <w:rsid w:val="001E0B5B"/>
    <w:rsid w:val="001E1134"/>
    <w:rsid w:val="001F70E2"/>
    <w:rsid w:val="0021012D"/>
    <w:rsid w:val="002162F8"/>
    <w:rsid w:val="002261C8"/>
    <w:rsid w:val="00230057"/>
    <w:rsid w:val="002424FF"/>
    <w:rsid w:val="00244F6A"/>
    <w:rsid w:val="00245257"/>
    <w:rsid w:val="002500D0"/>
    <w:rsid w:val="00255F0A"/>
    <w:rsid w:val="00256BFC"/>
    <w:rsid w:val="00260902"/>
    <w:rsid w:val="00262FFA"/>
    <w:rsid w:val="00264BDF"/>
    <w:rsid w:val="002742EE"/>
    <w:rsid w:val="002804CE"/>
    <w:rsid w:val="00287B8D"/>
    <w:rsid w:val="00291786"/>
    <w:rsid w:val="00292507"/>
    <w:rsid w:val="00292F3C"/>
    <w:rsid w:val="0029388D"/>
    <w:rsid w:val="002A30DB"/>
    <w:rsid w:val="002A3F7C"/>
    <w:rsid w:val="002B2E77"/>
    <w:rsid w:val="002B57F0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268C2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5BD8"/>
    <w:rsid w:val="003E4EB7"/>
    <w:rsid w:val="003F1061"/>
    <w:rsid w:val="003F14E0"/>
    <w:rsid w:val="003F60AF"/>
    <w:rsid w:val="003F6366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56BD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849EF"/>
    <w:rsid w:val="00486BCA"/>
    <w:rsid w:val="0049213F"/>
    <w:rsid w:val="0049414B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B6775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5661"/>
    <w:rsid w:val="00647D8A"/>
    <w:rsid w:val="00651E33"/>
    <w:rsid w:val="006530FE"/>
    <w:rsid w:val="00662A01"/>
    <w:rsid w:val="00667A31"/>
    <w:rsid w:val="00674A20"/>
    <w:rsid w:val="006805FD"/>
    <w:rsid w:val="006807E3"/>
    <w:rsid w:val="00694ED0"/>
    <w:rsid w:val="006B2436"/>
    <w:rsid w:val="006B3A59"/>
    <w:rsid w:val="006C1D96"/>
    <w:rsid w:val="006C5ED9"/>
    <w:rsid w:val="006D0302"/>
    <w:rsid w:val="006E175E"/>
    <w:rsid w:val="00702EB8"/>
    <w:rsid w:val="00710096"/>
    <w:rsid w:val="00712BC8"/>
    <w:rsid w:val="007130B5"/>
    <w:rsid w:val="007165F3"/>
    <w:rsid w:val="00717CCC"/>
    <w:rsid w:val="0072121A"/>
    <w:rsid w:val="00722924"/>
    <w:rsid w:val="007331DA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56C4E"/>
    <w:rsid w:val="0086481F"/>
    <w:rsid w:val="00866ACC"/>
    <w:rsid w:val="00866F78"/>
    <w:rsid w:val="00867677"/>
    <w:rsid w:val="00874392"/>
    <w:rsid w:val="008744D8"/>
    <w:rsid w:val="0088116B"/>
    <w:rsid w:val="0089184B"/>
    <w:rsid w:val="0089235F"/>
    <w:rsid w:val="00893F41"/>
    <w:rsid w:val="008A385C"/>
    <w:rsid w:val="008A43E0"/>
    <w:rsid w:val="008B3FAF"/>
    <w:rsid w:val="008B6A31"/>
    <w:rsid w:val="008B7F3F"/>
    <w:rsid w:val="008C075D"/>
    <w:rsid w:val="008C6866"/>
    <w:rsid w:val="008C6B2A"/>
    <w:rsid w:val="008D022D"/>
    <w:rsid w:val="008D58EC"/>
    <w:rsid w:val="008D60F7"/>
    <w:rsid w:val="008E469A"/>
    <w:rsid w:val="008F345D"/>
    <w:rsid w:val="008F3E1A"/>
    <w:rsid w:val="008F61E0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4B23"/>
    <w:rsid w:val="009B5D79"/>
    <w:rsid w:val="009D25C6"/>
    <w:rsid w:val="009D5294"/>
    <w:rsid w:val="009E2C20"/>
    <w:rsid w:val="009F0072"/>
    <w:rsid w:val="009F0D04"/>
    <w:rsid w:val="00A02592"/>
    <w:rsid w:val="00A068B8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39D7"/>
    <w:rsid w:val="00A544C8"/>
    <w:rsid w:val="00A54682"/>
    <w:rsid w:val="00A553CA"/>
    <w:rsid w:val="00A61342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481C"/>
    <w:rsid w:val="00AE6490"/>
    <w:rsid w:val="00AE7EB7"/>
    <w:rsid w:val="00AF71CE"/>
    <w:rsid w:val="00B00EDB"/>
    <w:rsid w:val="00B06C22"/>
    <w:rsid w:val="00B06E32"/>
    <w:rsid w:val="00B07575"/>
    <w:rsid w:val="00B16A2A"/>
    <w:rsid w:val="00B17212"/>
    <w:rsid w:val="00B17547"/>
    <w:rsid w:val="00B25FF6"/>
    <w:rsid w:val="00B32506"/>
    <w:rsid w:val="00B40DA9"/>
    <w:rsid w:val="00B41C5A"/>
    <w:rsid w:val="00B42AB1"/>
    <w:rsid w:val="00B44059"/>
    <w:rsid w:val="00B4627F"/>
    <w:rsid w:val="00B50E38"/>
    <w:rsid w:val="00B517F2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1002"/>
    <w:rsid w:val="00BD52C2"/>
    <w:rsid w:val="00BF27FB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B2165"/>
    <w:rsid w:val="00CB37F3"/>
    <w:rsid w:val="00CB704C"/>
    <w:rsid w:val="00CC10E9"/>
    <w:rsid w:val="00CD471E"/>
    <w:rsid w:val="00CD6583"/>
    <w:rsid w:val="00CE04F7"/>
    <w:rsid w:val="00CE5EA5"/>
    <w:rsid w:val="00CE6983"/>
    <w:rsid w:val="00D02D2E"/>
    <w:rsid w:val="00D04BEA"/>
    <w:rsid w:val="00D05C13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90AFC"/>
    <w:rsid w:val="00DC6F4D"/>
    <w:rsid w:val="00DE20C2"/>
    <w:rsid w:val="00DE2440"/>
    <w:rsid w:val="00DE5EF4"/>
    <w:rsid w:val="00DF3E88"/>
    <w:rsid w:val="00DF469B"/>
    <w:rsid w:val="00E03FCE"/>
    <w:rsid w:val="00E06B08"/>
    <w:rsid w:val="00E15ED1"/>
    <w:rsid w:val="00E251FD"/>
    <w:rsid w:val="00E31684"/>
    <w:rsid w:val="00E321D1"/>
    <w:rsid w:val="00E32EE8"/>
    <w:rsid w:val="00E357FC"/>
    <w:rsid w:val="00E37D8F"/>
    <w:rsid w:val="00E4711B"/>
    <w:rsid w:val="00E5486D"/>
    <w:rsid w:val="00E571C2"/>
    <w:rsid w:val="00E605EA"/>
    <w:rsid w:val="00E64FFE"/>
    <w:rsid w:val="00E656B7"/>
    <w:rsid w:val="00E670D8"/>
    <w:rsid w:val="00E74900"/>
    <w:rsid w:val="00E74BCC"/>
    <w:rsid w:val="00E778EC"/>
    <w:rsid w:val="00E836D1"/>
    <w:rsid w:val="00E85198"/>
    <w:rsid w:val="00E85E8C"/>
    <w:rsid w:val="00E958B0"/>
    <w:rsid w:val="00E958E3"/>
    <w:rsid w:val="00E9595B"/>
    <w:rsid w:val="00EA2860"/>
    <w:rsid w:val="00EA2CBA"/>
    <w:rsid w:val="00EA74C5"/>
    <w:rsid w:val="00EC2CE5"/>
    <w:rsid w:val="00EC678B"/>
    <w:rsid w:val="00EC720F"/>
    <w:rsid w:val="00ED1A12"/>
    <w:rsid w:val="00ED316F"/>
    <w:rsid w:val="00ED6A14"/>
    <w:rsid w:val="00EF0798"/>
    <w:rsid w:val="00EF15B3"/>
    <w:rsid w:val="00EF38BF"/>
    <w:rsid w:val="00EF4C3F"/>
    <w:rsid w:val="00EF786E"/>
    <w:rsid w:val="00F00BC4"/>
    <w:rsid w:val="00F0175D"/>
    <w:rsid w:val="00F03D87"/>
    <w:rsid w:val="00F1324F"/>
    <w:rsid w:val="00F16C8B"/>
    <w:rsid w:val="00F22702"/>
    <w:rsid w:val="00F2289D"/>
    <w:rsid w:val="00F30092"/>
    <w:rsid w:val="00F321D7"/>
    <w:rsid w:val="00F34287"/>
    <w:rsid w:val="00F36DAE"/>
    <w:rsid w:val="00F43612"/>
    <w:rsid w:val="00F450FF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5BD3"/>
    <w:rsid w:val="00F8682C"/>
    <w:rsid w:val="00F90E18"/>
    <w:rsid w:val="00F90E1B"/>
    <w:rsid w:val="00F92013"/>
    <w:rsid w:val="00FA00E1"/>
    <w:rsid w:val="00FA2448"/>
    <w:rsid w:val="00FA3D40"/>
    <w:rsid w:val="00FA4CAA"/>
    <w:rsid w:val="00FB1A4D"/>
    <w:rsid w:val="00FB4DA7"/>
    <w:rsid w:val="00FB7C76"/>
    <w:rsid w:val="00FC6E28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1E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9904cd28-e998-4c0a-a469-48e92015d5b0"/>
    <ds:schemaRef ds:uri="http://purl.org/dc/terms/"/>
    <ds:schemaRef ds:uri="74e46bd8-2d3a-46c4-a507-7dab1b7d08c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2AB2B-CC9F-43F4-83DE-53844671F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8375BB-C25D-43BB-B814-EBA9126F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</cp:revision>
  <cp:lastPrinted>2020-02-10T06:14:00Z</cp:lastPrinted>
  <dcterms:created xsi:type="dcterms:W3CDTF">2021-01-19T02:18:00Z</dcterms:created>
  <dcterms:modified xsi:type="dcterms:W3CDTF">2021-01-19T02:18:00Z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6e731b95-22b6-470a-8135-5d36fe0ae7a7</vt:lpwstr>
  </property>
</Properties>
</file>